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ИУК-4.1 знать принципы построения устного и письменного высказывания на русском и иностранном языках</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ИУК-4.2 знать правила и закономерности деловой устной и письменной коммуникации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ИУК-4.3 уметь применять на практике деловую коммуникацию в устной и письменной формах, методы и навыки делового общения на русском и иностранном языках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ИУК-4.4 владеть навыками чтения и перевода текстов на иностранном языке в профессиональном общении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ИУК-4.5 владеть навыками деловых коммуникаций в устной и письменной форме на русском и иностранном языках</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ИУК-4.6 владеть методикой составления суждения в межличностном деловом общении на русском и иностранном языках</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 «Иностранный язык»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Деловые коммуникации в сфере информационных технологий</w:t>
            </w:r>
          </w:p>
          <w:p>
            <w:pPr>
              <w:jc w:val="center"/>
              <w:spacing w:after="0" w:line="240" w:lineRule="auto"/>
              <w:rPr>
                <w:sz w:val="22"/>
                <w:szCs w:val="22"/>
              </w:rPr>
            </w:pPr>
            <w:r>
              <w:rPr>
                <w:rFonts w:ascii="Times New Roman" w:hAnsi="Times New Roman" w:cs="Times New Roman"/>
                <w:color w:val="#000000"/>
                <w:sz w:val="22"/>
                <w:szCs w:val="22"/>
              </w:rPr>
              <w:t> Операционные системы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3"/>
        </w:trPr>
        <w:tc>
          <w:tcPr>
            <w:tcW w:w="3970" w:type="dxa"/>
          </w:tcPr>
          <w:p/>
        </w:tc>
        <w:tc>
          <w:tcPr>
            <w:tcW w:w="4679" w:type="dxa"/>
          </w:tcPr>
          <w:p/>
        </w:tc>
        <w:tc>
          <w:tcPr>
            <w:tcW w:w="993" w:type="dxa"/>
          </w:tcPr>
          <w:p/>
        </w:tc>
      </w:tr>
      <w:tr>
        <w:trPr>
          <w:trHeight w:hRule="exact" w:val="696.191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12 зачетных единиц – 432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речь.Герундий.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432</w:t>
            </w:r>
          </w:p>
        </w:tc>
      </w:tr>
      <w:tr>
        <w:trPr>
          <w:trHeight w:hRule="exact" w:val="2967.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речь.Герундий.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Герундий. Тема содержит вокабуляр по изучаемой теме «My Flat»; аутентичный текст современного английского языка; тексты сопровождаются во- 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316.7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2024-2025_ФГОС3++2024_Бак-ОФО-ПИ(24)_plx_Иностранный язык_11111111</dc:title>
  <dc:creator>FastReport.NET</dc:creator>
</cp:coreProperties>
</file>